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77787" w14:textId="740CA691" w:rsidR="00A445AF" w:rsidRPr="00BE5E5A" w:rsidRDefault="00A445AF" w:rsidP="00A445AF">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92</w:t>
      </w:r>
      <w:r w:rsidRPr="00F644CF">
        <w:rPr>
          <w:rFonts w:cs="Arial"/>
          <w:b/>
          <w:sz w:val="24"/>
          <w:szCs w:val="24"/>
        </w:rPr>
        <w:tab/>
      </w:r>
      <w:r>
        <w:rPr>
          <w:rFonts w:cs="Arial"/>
          <w:b/>
          <w:sz w:val="24"/>
          <w:szCs w:val="24"/>
        </w:rPr>
        <w:t xml:space="preserve">                                                                         </w:t>
      </w:r>
      <w:r w:rsidRPr="00F12F9A">
        <w:rPr>
          <w:rFonts w:cs="Arial"/>
          <w:b/>
          <w:sz w:val="24"/>
          <w:szCs w:val="24"/>
        </w:rPr>
        <w:t>R4-190</w:t>
      </w:r>
      <w:r>
        <w:rPr>
          <w:rFonts w:cs="Arial"/>
          <w:b/>
          <w:sz w:val="24"/>
          <w:szCs w:val="24"/>
        </w:rPr>
        <w:t>8558</w:t>
      </w:r>
    </w:p>
    <w:p w14:paraId="6491356E" w14:textId="77777777" w:rsidR="00A445AF" w:rsidRPr="00F644CF" w:rsidRDefault="00A445AF" w:rsidP="00A445AF">
      <w:pPr>
        <w:pStyle w:val="Header"/>
        <w:tabs>
          <w:tab w:val="right" w:pos="9781"/>
          <w:tab w:val="right" w:pos="13323"/>
        </w:tabs>
        <w:outlineLvl w:val="0"/>
        <w:rPr>
          <w:rFonts w:eastAsia="SimSun"/>
          <w:b/>
          <w:sz w:val="24"/>
          <w:szCs w:val="24"/>
          <w:lang w:eastAsia="zh-CN"/>
        </w:rPr>
      </w:pPr>
      <w:r w:rsidRPr="0022145D">
        <w:rPr>
          <w:rFonts w:eastAsia="SimSun"/>
          <w:b/>
          <w:sz w:val="24"/>
          <w:szCs w:val="24"/>
          <w:lang w:eastAsia="zh-CN"/>
        </w:rPr>
        <w:t>Ljubljana</w:t>
      </w:r>
      <w:r w:rsidRPr="00F644CF">
        <w:rPr>
          <w:rFonts w:eastAsia="SimSun" w:hint="eastAsia"/>
          <w:b/>
          <w:sz w:val="24"/>
          <w:szCs w:val="24"/>
          <w:lang w:eastAsia="zh-CN"/>
        </w:rPr>
        <w:t xml:space="preserve">, </w:t>
      </w:r>
      <w:r>
        <w:rPr>
          <w:rFonts w:eastAsia="SimSun"/>
          <w:b/>
          <w:sz w:val="24"/>
          <w:szCs w:val="24"/>
          <w:lang w:eastAsia="zh-CN"/>
        </w:rPr>
        <w:t>SI</w:t>
      </w:r>
      <w:r w:rsidRPr="00F644CF">
        <w:rPr>
          <w:rFonts w:eastAsia="SimSun"/>
          <w:b/>
          <w:sz w:val="24"/>
          <w:szCs w:val="24"/>
          <w:lang w:eastAsia="zh-CN"/>
        </w:rPr>
        <w:t xml:space="preserve">, </w:t>
      </w:r>
      <w:r>
        <w:rPr>
          <w:rFonts w:eastAsia="SimSun"/>
          <w:b/>
          <w:sz w:val="24"/>
          <w:szCs w:val="24"/>
          <w:lang w:eastAsia="zh-CN"/>
        </w:rPr>
        <w:t>26</w:t>
      </w:r>
      <w:r w:rsidRPr="0022145D">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30</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b/>
          <w:sz w:val="24"/>
          <w:szCs w:val="24"/>
          <w:lang w:eastAsia="zh-CN"/>
        </w:rPr>
        <w:t>Aug</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14:paraId="228C4B2E" w14:textId="77777777" w:rsidR="0015319D" w:rsidRDefault="0015319D" w:rsidP="002D479B">
      <w:pPr>
        <w:ind w:left="1800" w:hanging="1800"/>
        <w:rPr>
          <w:b/>
          <w:sz w:val="24"/>
          <w:szCs w:val="24"/>
        </w:rPr>
      </w:pPr>
    </w:p>
    <w:p w14:paraId="7B2CECD6" w14:textId="0DFBE363"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A445AF">
        <w:rPr>
          <w:b/>
          <w:sz w:val="24"/>
          <w:szCs w:val="24"/>
        </w:rPr>
        <w:t>9</w:t>
      </w:r>
      <w:r w:rsidR="00FD6C05">
        <w:rPr>
          <w:b/>
          <w:sz w:val="24"/>
          <w:szCs w:val="24"/>
        </w:rPr>
        <w:t>.5.</w:t>
      </w:r>
      <w:r w:rsidR="00920B09">
        <w:rPr>
          <w:b/>
          <w:sz w:val="24"/>
          <w:szCs w:val="24"/>
        </w:rPr>
        <w:t>4</w:t>
      </w:r>
      <w:r w:rsidR="00A445AF">
        <w:rPr>
          <w:b/>
          <w:sz w:val="24"/>
          <w:szCs w:val="24"/>
        </w:rPr>
        <w:t>.2</w:t>
      </w:r>
    </w:p>
    <w:p w14:paraId="0586D8BD" w14:textId="77777777"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14:paraId="21357C0A" w14:textId="77777777"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4A5297">
        <w:rPr>
          <w:b/>
          <w:sz w:val="24"/>
          <w:szCs w:val="24"/>
        </w:rPr>
        <w:t>IAB R</w:t>
      </w:r>
      <w:r w:rsidR="00920B09">
        <w:rPr>
          <w:b/>
          <w:sz w:val="24"/>
          <w:szCs w:val="24"/>
        </w:rPr>
        <w:t>RM</w:t>
      </w:r>
      <w:r w:rsidR="004A5297">
        <w:rPr>
          <w:b/>
          <w:sz w:val="24"/>
          <w:szCs w:val="24"/>
        </w:rPr>
        <w:t xml:space="preserve"> requirements</w:t>
      </w:r>
    </w:p>
    <w:p w14:paraId="1BE45A03" w14:textId="77777777"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14:paraId="225DD86B" w14:textId="77777777" w:rsidR="00A64CF7" w:rsidRPr="00A11840" w:rsidRDefault="00A64CF7" w:rsidP="00424124">
      <w:pPr>
        <w:pStyle w:val="NoSpacing"/>
        <w:jc w:val="left"/>
        <w:rPr>
          <w:sz w:val="16"/>
          <w:szCs w:val="16"/>
        </w:rPr>
      </w:pPr>
    </w:p>
    <w:p w14:paraId="0544449C" w14:textId="77777777" w:rsidR="00707D20" w:rsidRPr="00172743" w:rsidRDefault="00424124" w:rsidP="00326FF6">
      <w:pPr>
        <w:pStyle w:val="Heading1"/>
      </w:pPr>
      <w:r w:rsidRPr="00172743">
        <w:t>Introduction</w:t>
      </w:r>
    </w:p>
    <w:p w14:paraId="2708CFF1" w14:textId="77777777" w:rsidR="002122D0" w:rsidRPr="00233D70" w:rsidRDefault="002122D0" w:rsidP="002122D0">
      <w:pPr>
        <w:pStyle w:val="maintext"/>
        <w:ind w:firstLine="400"/>
        <w:rPr>
          <w:rFonts w:ascii="Calibri" w:hAnsi="Calibri"/>
        </w:rPr>
      </w:pPr>
      <w:bookmarkStart w:id="2"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R</w:t>
      </w:r>
      <w:r w:rsidR="006C77B1">
        <w:rPr>
          <w:rFonts w:ascii="Calibri" w:hAnsi="Calibri"/>
        </w:rPr>
        <w:t>RM</w:t>
      </w:r>
      <w:r>
        <w:rPr>
          <w:rFonts w:ascii="Calibri" w:hAnsi="Calibri"/>
        </w:rPr>
        <w:t xml:space="preserve"> requirements for IAB nodes.</w:t>
      </w:r>
    </w:p>
    <w:bookmarkEnd w:id="2"/>
    <w:p w14:paraId="181E1E08" w14:textId="711597C8" w:rsidR="00346605" w:rsidRPr="00172743" w:rsidRDefault="00031603" w:rsidP="00326FF6">
      <w:pPr>
        <w:pStyle w:val="Heading1"/>
      </w:pPr>
      <w:r>
        <w:t>IAB R</w:t>
      </w:r>
      <w:r w:rsidR="0034374B">
        <w:t>RM</w:t>
      </w:r>
      <w:r>
        <w:t xml:space="preserve"> Requirements</w:t>
      </w:r>
    </w:p>
    <w:p w14:paraId="5672C556" w14:textId="77777777" w:rsidR="007E20F9" w:rsidRDefault="007E20F9" w:rsidP="007E20F9">
      <w:pPr>
        <w:pStyle w:val="maintext"/>
        <w:ind w:firstLineChars="0" w:firstLine="0"/>
        <w:rPr>
          <w:rFonts w:ascii="Calibri" w:hAnsi="Calibri"/>
        </w:rPr>
      </w:pPr>
      <w:r>
        <w:rPr>
          <w:rFonts w:ascii="Calibri" w:hAnsi="Calibri"/>
        </w:rPr>
        <w:t>An example of a network with integrated access and backhaul links is shown in Figure 1 below. The operation of the different links may be on the same or different frequencies (also termed ‘in-band’ and ‘out-band’ relays). Each IAB node has both DU functionality (IAB-DU) as well as UE-like functionality (IAB-MT). The relay is connected to an IAB node of a higher hop order in a similar way as a UE, while the IAB node serves relay UEs inside IAB nodes of lower hop orders or its own access UEs.</w:t>
      </w:r>
    </w:p>
    <w:p w14:paraId="0C09696F" w14:textId="77777777" w:rsidR="007E20F9" w:rsidRDefault="007E20F9" w:rsidP="007E20F9">
      <w:pPr>
        <w:pStyle w:val="maintext"/>
        <w:ind w:firstLineChars="0" w:firstLine="0"/>
        <w:rPr>
          <w:rFonts w:ascii="Calibri" w:hAnsi="Calibri"/>
        </w:rPr>
      </w:pPr>
    </w:p>
    <w:p w14:paraId="601E7E18" w14:textId="77777777" w:rsidR="007E20F9" w:rsidRDefault="00A445AF" w:rsidP="007E20F9">
      <w:pPr>
        <w:spacing w:after="60" w:line="288" w:lineRule="auto"/>
        <w:jc w:val="center"/>
        <w:rPr>
          <w:rFonts w:eastAsia="Malgun Gothic" w:cs="Batang"/>
          <w:b/>
          <w:lang w:val="en-GB" w:eastAsia="ko-KR"/>
        </w:rPr>
      </w:pPr>
      <w:r>
        <w:rPr>
          <w:rFonts w:eastAsia="Malgun Gothic" w:cs="Batang"/>
          <w:b/>
          <w:noProof/>
        </w:rPr>
        <w:drawing>
          <wp:inline distT="0" distB="0" distL="0" distR="0" wp14:anchorId="47353B07" wp14:editId="60265A07">
            <wp:extent cx="4631055" cy="171894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1055" cy="1718945"/>
                    </a:xfrm>
                    <a:prstGeom prst="rect">
                      <a:avLst/>
                    </a:prstGeom>
                    <a:noFill/>
                    <a:ln>
                      <a:noFill/>
                    </a:ln>
                  </pic:spPr>
                </pic:pic>
              </a:graphicData>
            </a:graphic>
          </wp:inline>
        </w:drawing>
      </w:r>
    </w:p>
    <w:p w14:paraId="0CD85675" w14:textId="77777777" w:rsidR="007E20F9" w:rsidRDefault="007E20F9" w:rsidP="007E20F9">
      <w:pPr>
        <w:spacing w:after="240" w:line="360" w:lineRule="auto"/>
        <w:ind w:left="720"/>
        <w:jc w:val="center"/>
        <w:rPr>
          <w:rFonts w:ascii="Calibri" w:hAnsi="Calibri"/>
          <w:b/>
          <w:bCs/>
          <w:sz w:val="22"/>
          <w:lang w:val="en-GB" w:eastAsia="zh-CN"/>
        </w:rPr>
      </w:pPr>
      <w:r>
        <w:rPr>
          <w:rFonts w:ascii="Calibri" w:hAnsi="Calibri"/>
          <w:b/>
          <w:bCs/>
          <w:sz w:val="22"/>
          <w:lang w:val="en-GB" w:eastAsia="zh-CN"/>
        </w:rPr>
        <w:t xml:space="preserve">Figure 1: Integrated access and backhaul links </w:t>
      </w:r>
    </w:p>
    <w:p w14:paraId="62798405" w14:textId="77777777" w:rsidR="007E20F9" w:rsidRDefault="007E20F9" w:rsidP="007E20F9">
      <w:pPr>
        <w:pStyle w:val="maintext"/>
        <w:ind w:firstLineChars="0" w:firstLine="0"/>
        <w:rPr>
          <w:rFonts w:ascii="Calibri" w:hAnsi="Calibri"/>
        </w:rPr>
      </w:pPr>
      <w:r>
        <w:rPr>
          <w:rFonts w:ascii="Calibri" w:hAnsi="Calibri"/>
        </w:rPr>
        <w:t>In addition, for in-band operation IAB nodes are assumed to operate with a half-duplex constraint as shown in Figure 2, which means they can only do the following at any given time:</w:t>
      </w:r>
    </w:p>
    <w:p w14:paraId="6ACA9286" w14:textId="77777777" w:rsidR="007E20F9" w:rsidRDefault="007E20F9" w:rsidP="007E20F9">
      <w:pPr>
        <w:pStyle w:val="maintext"/>
        <w:numPr>
          <w:ilvl w:val="0"/>
          <w:numId w:val="10"/>
        </w:numPr>
        <w:ind w:firstLineChars="0"/>
        <w:rPr>
          <w:rFonts w:ascii="Calibri" w:hAnsi="Calibri"/>
        </w:rPr>
      </w:pPr>
      <w:r>
        <w:rPr>
          <w:rFonts w:ascii="Calibri" w:hAnsi="Calibri"/>
        </w:rPr>
        <w:t xml:space="preserve">Receive on the access link (UE to IAB node) and/or backhaul link (IAB node to IAB node) </w:t>
      </w:r>
    </w:p>
    <w:p w14:paraId="78640F4B" w14:textId="77777777" w:rsidR="007E20F9" w:rsidRDefault="007E20F9" w:rsidP="007E20F9">
      <w:pPr>
        <w:pStyle w:val="maintext"/>
        <w:numPr>
          <w:ilvl w:val="0"/>
          <w:numId w:val="10"/>
        </w:numPr>
        <w:ind w:firstLineChars="0"/>
        <w:rPr>
          <w:rFonts w:ascii="Calibri" w:hAnsi="Calibri"/>
        </w:rPr>
      </w:pPr>
      <w:r>
        <w:rPr>
          <w:rFonts w:ascii="Calibri" w:hAnsi="Calibri"/>
        </w:rPr>
        <w:t xml:space="preserve">Transmit on the access link and/or backhaul link </w:t>
      </w:r>
    </w:p>
    <w:p w14:paraId="31ABB0C0" w14:textId="77777777" w:rsidR="007E20F9" w:rsidRDefault="007E20F9" w:rsidP="007E20F9">
      <w:pPr>
        <w:pStyle w:val="maintext"/>
        <w:ind w:firstLineChars="0" w:firstLine="0"/>
        <w:rPr>
          <w:rFonts w:ascii="Calibri" w:hAnsi="Calibri"/>
        </w:rPr>
      </w:pPr>
    </w:p>
    <w:p w14:paraId="22A87D02" w14:textId="77777777" w:rsidR="007E20F9" w:rsidRDefault="007E20F9" w:rsidP="007E20F9">
      <w:pPr>
        <w:pStyle w:val="maintext"/>
        <w:keepNext/>
        <w:ind w:firstLineChars="0" w:firstLine="0"/>
        <w:jc w:val="center"/>
      </w:pPr>
      <w:r>
        <w:rPr>
          <w:noProof/>
          <w:color w:val="1F497D"/>
          <w:lang w:val="en-US" w:eastAsia="en-US"/>
        </w:rPr>
        <w:lastRenderedPageBreak/>
        <w:fldChar w:fldCharType="begin"/>
      </w:r>
      <w:r>
        <w:rPr>
          <w:noProof/>
          <w:color w:val="1F497D"/>
          <w:lang w:val="en-US" w:eastAsia="en-US"/>
        </w:rPr>
        <w:instrText xml:space="preserve"> INCLUDEPICTURE  "cid:image005.png@01D3944D.5F473090" \* MERGEFORMATINET </w:instrText>
      </w:r>
      <w:r>
        <w:rPr>
          <w:noProof/>
          <w:color w:val="1F497D"/>
          <w:lang w:val="en-US" w:eastAsia="en-US"/>
        </w:rPr>
        <w:fldChar w:fldCharType="separate"/>
      </w:r>
      <w:r w:rsidR="00044F7E">
        <w:rPr>
          <w:noProof/>
          <w:color w:val="1F497D"/>
          <w:lang w:val="en-US" w:eastAsia="en-US"/>
        </w:rPr>
        <w:fldChar w:fldCharType="begin"/>
      </w:r>
      <w:r w:rsidR="00044F7E">
        <w:rPr>
          <w:noProof/>
          <w:color w:val="1F497D"/>
          <w:lang w:val="en-US" w:eastAsia="en-US"/>
        </w:rPr>
        <w:instrText xml:space="preserve"> INCLUDEPICTURE  "cid:image005.png@01D3944D.5F473090" \* MERGEFORMATINET </w:instrText>
      </w:r>
      <w:r w:rsidR="00044F7E">
        <w:rPr>
          <w:noProof/>
          <w:color w:val="1F497D"/>
          <w:lang w:val="en-US" w:eastAsia="en-US"/>
        </w:rPr>
        <w:fldChar w:fldCharType="separate"/>
      </w:r>
      <w:r w:rsidR="00F37791">
        <w:rPr>
          <w:noProof/>
          <w:color w:val="1F497D"/>
          <w:lang w:val="en-US" w:eastAsia="en-US"/>
        </w:rPr>
        <w:fldChar w:fldCharType="begin"/>
      </w:r>
      <w:r w:rsidR="00F37791">
        <w:rPr>
          <w:noProof/>
          <w:color w:val="1F497D"/>
          <w:lang w:val="en-US" w:eastAsia="en-US"/>
        </w:rPr>
        <w:instrText xml:space="preserve"> INCLUDEPICTURE  "cid:image005.png@01D3944D.5F473090" \* MERGEFORMATINET </w:instrText>
      </w:r>
      <w:r w:rsidR="00F37791">
        <w:rPr>
          <w:noProof/>
          <w:color w:val="1F497D"/>
          <w:lang w:val="en-US" w:eastAsia="en-US"/>
        </w:rPr>
        <w:fldChar w:fldCharType="separate"/>
      </w:r>
      <w:r w:rsidR="00D56240">
        <w:rPr>
          <w:noProof/>
          <w:color w:val="1F497D"/>
          <w:lang w:val="en-US" w:eastAsia="en-US"/>
        </w:rPr>
        <w:fldChar w:fldCharType="begin"/>
      </w:r>
      <w:r w:rsidR="00D56240">
        <w:rPr>
          <w:noProof/>
          <w:color w:val="1F497D"/>
          <w:lang w:val="en-US" w:eastAsia="en-US"/>
        </w:rPr>
        <w:instrText xml:space="preserve"> INCLUDEPICTURE  "cid:image005.png@01D3944D.5F473090" \* MERGEFORMATINET </w:instrText>
      </w:r>
      <w:r w:rsidR="00D56240">
        <w:rPr>
          <w:noProof/>
          <w:color w:val="1F497D"/>
          <w:lang w:val="en-US" w:eastAsia="en-US"/>
        </w:rPr>
        <w:fldChar w:fldCharType="separate"/>
      </w:r>
      <w:r w:rsidR="00A445AF">
        <w:rPr>
          <w:noProof/>
          <w:color w:val="1F497D"/>
          <w:lang w:val="en-US" w:eastAsia="en-US"/>
        </w:rPr>
        <w:drawing>
          <wp:inline distT="0" distB="0" distL="0" distR="0" wp14:anchorId="3A589A42" wp14:editId="7422960A">
            <wp:extent cx="4716145" cy="31750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6145" cy="3175000"/>
                    </a:xfrm>
                    <a:prstGeom prst="rect">
                      <a:avLst/>
                    </a:prstGeom>
                    <a:noFill/>
                    <a:ln>
                      <a:noFill/>
                    </a:ln>
                  </pic:spPr>
                </pic:pic>
              </a:graphicData>
            </a:graphic>
          </wp:inline>
        </w:drawing>
      </w:r>
      <w:r w:rsidR="00D56240">
        <w:rPr>
          <w:noProof/>
          <w:color w:val="1F497D"/>
          <w:lang w:val="en-US" w:eastAsia="en-US"/>
        </w:rPr>
        <w:fldChar w:fldCharType="end"/>
      </w:r>
      <w:r w:rsidR="00F37791">
        <w:rPr>
          <w:noProof/>
          <w:color w:val="1F497D"/>
          <w:lang w:val="en-US" w:eastAsia="en-US"/>
        </w:rPr>
        <w:fldChar w:fldCharType="end"/>
      </w:r>
      <w:r w:rsidR="00044F7E">
        <w:rPr>
          <w:noProof/>
          <w:color w:val="1F497D"/>
          <w:lang w:val="en-US" w:eastAsia="en-US"/>
        </w:rPr>
        <w:fldChar w:fldCharType="end"/>
      </w:r>
      <w:r>
        <w:rPr>
          <w:noProof/>
          <w:color w:val="1F497D"/>
          <w:lang w:val="en-US" w:eastAsia="en-US"/>
        </w:rPr>
        <w:fldChar w:fldCharType="end"/>
      </w:r>
    </w:p>
    <w:p w14:paraId="34D0859A" w14:textId="77777777" w:rsidR="007E20F9" w:rsidRDefault="007E20F9" w:rsidP="007E20F9">
      <w:pPr>
        <w:pStyle w:val="maintext"/>
        <w:ind w:firstLineChars="0" w:firstLine="0"/>
        <w:jc w:val="center"/>
        <w:rPr>
          <w:rFonts w:ascii="Calibri" w:hAnsi="Calibri"/>
          <w:b/>
        </w:rPr>
      </w:pPr>
    </w:p>
    <w:p w14:paraId="3EA2308C" w14:textId="77777777" w:rsidR="007E20F9" w:rsidRDefault="007E20F9" w:rsidP="007E20F9">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 Half-duplex constraint at the relay</w:t>
      </w:r>
    </w:p>
    <w:p w14:paraId="6F2D4F43" w14:textId="77777777" w:rsidR="006C77B1" w:rsidRDefault="006C77B1" w:rsidP="006C77B1">
      <w:pPr>
        <w:rPr>
          <w:rFonts w:ascii="Calibri" w:eastAsia="Malgun Gothic" w:hAnsi="Calibri" w:cs="Batang"/>
          <w:lang w:val="en-GB" w:eastAsia="ko-KR"/>
        </w:rPr>
      </w:pPr>
      <w:r>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14:paraId="3846A677" w14:textId="13D4A537" w:rsidR="006C77B1" w:rsidRPr="00AF750F" w:rsidRDefault="006C77B1" w:rsidP="006C77B1">
      <w:pPr>
        <w:pStyle w:val="ListParagraph"/>
        <w:numPr>
          <w:ilvl w:val="0"/>
          <w:numId w:val="11"/>
        </w:numPr>
        <w:spacing w:beforeLines="60" w:before="144" w:afterLines="60" w:after="144" w:line="254" w:lineRule="auto"/>
        <w:ind w:left="1800"/>
        <w:jc w:val="left"/>
        <w:rPr>
          <w:rFonts w:ascii="Calibri" w:hAnsi="Calibr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135C402" w14:textId="77777777" w:rsidR="00AF750F" w:rsidRDefault="00AF750F" w:rsidP="00AF750F">
      <w:pPr>
        <w:spacing w:beforeLines="60" w:before="144" w:afterLines="60" w:after="144" w:line="254" w:lineRule="auto"/>
        <w:jc w:val="left"/>
        <w:rPr>
          <w:rFonts w:ascii="Calibri" w:hAnsi="Calibri"/>
        </w:rPr>
      </w:pPr>
    </w:p>
    <w:p w14:paraId="5FD2EED1" w14:textId="7C29F8AB" w:rsidR="00AF750F" w:rsidRDefault="00AF750F" w:rsidP="00AF750F">
      <w:pPr>
        <w:spacing w:beforeLines="60" w:before="144" w:afterLines="60" w:after="144" w:line="254" w:lineRule="auto"/>
        <w:jc w:val="left"/>
        <w:rPr>
          <w:rFonts w:ascii="Calibri" w:hAnsi="Calibri"/>
        </w:rPr>
      </w:pPr>
      <w:r>
        <w:rPr>
          <w:rFonts w:ascii="Calibri" w:hAnsi="Calibri"/>
        </w:rPr>
        <w:t>During RAN4#91 the following was agreed as a WF for IAB RRM:</w:t>
      </w:r>
    </w:p>
    <w:p w14:paraId="22A23987" w14:textId="77777777" w:rsidR="00AF750F" w:rsidRPr="00AF750F" w:rsidRDefault="00AF750F" w:rsidP="00AF750F">
      <w:pPr>
        <w:numPr>
          <w:ilvl w:val="0"/>
          <w:numId w:val="13"/>
        </w:numPr>
        <w:spacing w:beforeLines="60" w:before="144" w:afterLines="60" w:after="144" w:line="254" w:lineRule="auto"/>
        <w:jc w:val="left"/>
        <w:rPr>
          <w:rFonts w:ascii="Calibri" w:hAnsi="Calibri"/>
        </w:rPr>
      </w:pPr>
      <w:r w:rsidRPr="00AF750F">
        <w:rPr>
          <w:rFonts w:ascii="Calibri" w:hAnsi="Calibri"/>
        </w:rPr>
        <w:t>Backhaul link (BL):</w:t>
      </w:r>
    </w:p>
    <w:p w14:paraId="4485BD5E" w14:textId="77777777" w:rsidR="00AF750F" w:rsidRPr="00AF750F" w:rsidRDefault="00AF750F" w:rsidP="00AF750F">
      <w:pPr>
        <w:numPr>
          <w:ilvl w:val="1"/>
          <w:numId w:val="13"/>
        </w:numPr>
        <w:spacing w:beforeLines="60" w:before="144" w:afterLines="60" w:after="144" w:line="254" w:lineRule="auto"/>
        <w:jc w:val="left"/>
        <w:rPr>
          <w:rFonts w:ascii="Calibri" w:hAnsi="Calibri"/>
        </w:rPr>
      </w:pPr>
      <w:r w:rsidRPr="00AF750F">
        <w:rPr>
          <w:rFonts w:ascii="Calibri" w:hAnsi="Calibri"/>
        </w:rPr>
        <w:t>It is FFS whether any RRM requirement need to be specified for IAB node and identify type of RRM requirement(s) (if need to be specified).</w:t>
      </w:r>
    </w:p>
    <w:p w14:paraId="425758CF" w14:textId="77777777" w:rsidR="00AF750F" w:rsidRPr="00AF750F" w:rsidRDefault="00AF750F" w:rsidP="00AF750F">
      <w:pPr>
        <w:spacing w:beforeLines="60" w:before="144" w:afterLines="60" w:after="144" w:line="254" w:lineRule="auto"/>
        <w:jc w:val="left"/>
        <w:rPr>
          <w:rFonts w:ascii="Calibri" w:hAnsi="Calibri"/>
        </w:rPr>
      </w:pPr>
    </w:p>
    <w:p w14:paraId="096CF714" w14:textId="275E8D8C" w:rsidR="006C77B1" w:rsidRDefault="006C77B1" w:rsidP="006C77B1">
      <w:pPr>
        <w:pStyle w:val="maintext"/>
        <w:ind w:firstLineChars="0" w:firstLine="0"/>
        <w:rPr>
          <w:rFonts w:ascii="Calibri" w:hAnsi="Calibri"/>
        </w:rPr>
      </w:pPr>
      <w:r>
        <w:rPr>
          <w:rFonts w:ascii="Calibri" w:hAnsi="Calibri"/>
        </w:rPr>
        <w:t xml:space="preserve">This contribution discusses the </w:t>
      </w:r>
      <w:r w:rsidR="006961B0">
        <w:rPr>
          <w:rFonts w:ascii="Calibri" w:hAnsi="Calibri"/>
        </w:rPr>
        <w:t>RRM requirements</w:t>
      </w:r>
      <w:r>
        <w:rPr>
          <w:rFonts w:ascii="Calibri" w:hAnsi="Calibri"/>
        </w:rPr>
        <w:t xml:space="preserve"> for the </w:t>
      </w:r>
      <w:r w:rsidR="00AF750F">
        <w:rPr>
          <w:rFonts w:ascii="Calibri" w:hAnsi="Calibri"/>
        </w:rPr>
        <w:t>backhaul link in order to efficiently</w:t>
      </w:r>
      <w:bookmarkStart w:id="3" w:name="_GoBack"/>
      <w:bookmarkEnd w:id="3"/>
      <w:r w:rsidR="00AF750F">
        <w:rPr>
          <w:rFonts w:ascii="Calibri" w:hAnsi="Calibri"/>
        </w:rPr>
        <w:t xml:space="preserve"> support </w:t>
      </w:r>
      <w:r>
        <w:rPr>
          <w:rFonts w:ascii="Calibri" w:hAnsi="Calibri"/>
        </w:rPr>
        <w:t>inter-IAB node discovery and measurements.</w:t>
      </w:r>
    </w:p>
    <w:p w14:paraId="344F778F" w14:textId="1EA987DA" w:rsidR="001A48EC" w:rsidRDefault="001A48EC" w:rsidP="0051424F">
      <w:pPr>
        <w:spacing w:after="0"/>
        <w:ind w:firstLine="576"/>
        <w:rPr>
          <w:rFonts w:ascii="Calibri" w:hAnsi="Calibri"/>
          <w:lang w:eastAsia="ko-KR"/>
        </w:rPr>
      </w:pPr>
    </w:p>
    <w:p w14:paraId="68CD737C" w14:textId="2CD44C37" w:rsidR="00AF750F" w:rsidRDefault="00AF750F" w:rsidP="0051424F">
      <w:pPr>
        <w:spacing w:after="0"/>
        <w:ind w:firstLine="576"/>
        <w:rPr>
          <w:rFonts w:ascii="Calibri" w:hAnsi="Calibri"/>
          <w:lang w:eastAsia="ko-KR"/>
        </w:rPr>
      </w:pPr>
    </w:p>
    <w:p w14:paraId="677CB098" w14:textId="358FB686" w:rsidR="00AF750F" w:rsidRDefault="00AF750F" w:rsidP="0051424F">
      <w:pPr>
        <w:spacing w:after="0"/>
        <w:ind w:firstLine="576"/>
        <w:rPr>
          <w:rFonts w:ascii="Calibri" w:hAnsi="Calibri"/>
          <w:lang w:eastAsia="ko-KR"/>
        </w:rPr>
      </w:pPr>
    </w:p>
    <w:p w14:paraId="6559FD75" w14:textId="485D55FC" w:rsidR="00AF750F" w:rsidRDefault="00AF750F" w:rsidP="0051424F">
      <w:pPr>
        <w:spacing w:after="0"/>
        <w:ind w:firstLine="576"/>
        <w:rPr>
          <w:rFonts w:ascii="Calibri" w:hAnsi="Calibri"/>
          <w:lang w:eastAsia="ko-KR"/>
        </w:rPr>
      </w:pPr>
    </w:p>
    <w:p w14:paraId="3FB86E47" w14:textId="216B6972" w:rsidR="00AF750F" w:rsidRDefault="00AF750F" w:rsidP="0051424F">
      <w:pPr>
        <w:spacing w:after="0"/>
        <w:ind w:firstLine="576"/>
        <w:rPr>
          <w:rFonts w:ascii="Calibri" w:hAnsi="Calibri"/>
          <w:lang w:eastAsia="ko-KR"/>
        </w:rPr>
      </w:pPr>
    </w:p>
    <w:p w14:paraId="30B8F11D" w14:textId="4206AFF0" w:rsidR="00AF750F" w:rsidRDefault="00AF750F" w:rsidP="0051424F">
      <w:pPr>
        <w:spacing w:after="0"/>
        <w:ind w:firstLine="576"/>
        <w:rPr>
          <w:rFonts w:ascii="Calibri" w:hAnsi="Calibri"/>
          <w:lang w:eastAsia="ko-KR"/>
        </w:rPr>
      </w:pPr>
    </w:p>
    <w:p w14:paraId="15987231" w14:textId="146179C6" w:rsidR="00AF750F" w:rsidRDefault="00AF750F" w:rsidP="0051424F">
      <w:pPr>
        <w:spacing w:after="0"/>
        <w:ind w:firstLine="576"/>
        <w:rPr>
          <w:rFonts w:ascii="Calibri" w:hAnsi="Calibri"/>
          <w:lang w:eastAsia="ko-KR"/>
        </w:rPr>
      </w:pPr>
    </w:p>
    <w:p w14:paraId="7A896EB4" w14:textId="0568DE10" w:rsidR="00AF750F" w:rsidRDefault="00AF750F" w:rsidP="0051424F">
      <w:pPr>
        <w:spacing w:after="0"/>
        <w:ind w:firstLine="576"/>
        <w:rPr>
          <w:rFonts w:ascii="Calibri" w:hAnsi="Calibri"/>
          <w:lang w:eastAsia="ko-KR"/>
        </w:rPr>
      </w:pPr>
    </w:p>
    <w:p w14:paraId="231BCA3B" w14:textId="77777777" w:rsidR="00AF750F" w:rsidRDefault="00AF750F" w:rsidP="0051424F">
      <w:pPr>
        <w:spacing w:after="0"/>
        <w:ind w:firstLine="576"/>
        <w:rPr>
          <w:rFonts w:ascii="Calibri" w:hAnsi="Calibri"/>
          <w:lang w:eastAsia="ko-KR"/>
        </w:rPr>
      </w:pPr>
    </w:p>
    <w:p w14:paraId="67AA72C0" w14:textId="77777777" w:rsidR="001A48EC" w:rsidRDefault="00BE240D" w:rsidP="001A48EC">
      <w:pPr>
        <w:pStyle w:val="Heading2"/>
        <w:ind w:left="540"/>
      </w:pPr>
      <w:r>
        <w:lastRenderedPageBreak/>
        <w:t>SSB based RRM</w:t>
      </w:r>
    </w:p>
    <w:p w14:paraId="11012CBC" w14:textId="77777777" w:rsidR="000D13BC" w:rsidRDefault="000D13BC" w:rsidP="000D13BC">
      <w:pPr>
        <w:pStyle w:val="maintext"/>
        <w:ind w:firstLineChars="0" w:firstLine="0"/>
        <w:rPr>
          <w:rFonts w:ascii="Calibri" w:hAnsi="Calibri"/>
        </w:rPr>
      </w:pPr>
      <w:r>
        <w:rPr>
          <w:rFonts w:ascii="Calibri" w:hAnsi="Calibri"/>
        </w:rPr>
        <w:t xml:space="preserve">Figure 1 provides an example </w:t>
      </w:r>
      <w:r w:rsidR="00310659">
        <w:rPr>
          <w:rFonts w:ascii="Calibri" w:hAnsi="Calibri"/>
        </w:rPr>
        <w:t xml:space="preserve">the </w:t>
      </w:r>
      <w:r>
        <w:rPr>
          <w:rFonts w:ascii="Calibri" w:hAnsi="Calibri"/>
        </w:rPr>
        <w:t xml:space="preserve">multiplexing of SSB </w:t>
      </w:r>
      <w:r w:rsidR="00C0195E">
        <w:rPr>
          <w:rFonts w:ascii="Calibri" w:hAnsi="Calibri"/>
        </w:rPr>
        <w:t>transmission configurations (STC)</w:t>
      </w:r>
      <w:r>
        <w:rPr>
          <w:rFonts w:ascii="Calibri" w:hAnsi="Calibri"/>
        </w:rPr>
        <w:t xml:space="preserve"> between access and two backhaul link hop orders.</w:t>
      </w:r>
      <w:r w:rsidR="00C0195E">
        <w:rPr>
          <w:rFonts w:ascii="Calibri" w:hAnsi="Calibri"/>
        </w:rPr>
        <w:t xml:space="preserve"> </w:t>
      </w:r>
    </w:p>
    <w:p w14:paraId="751DDADF" w14:textId="77777777" w:rsidR="000D13BC" w:rsidRDefault="00A445AF" w:rsidP="000D13BC">
      <w:pPr>
        <w:pStyle w:val="maintext"/>
        <w:ind w:firstLineChars="0" w:firstLine="0"/>
        <w:rPr>
          <w:rFonts w:ascii="Calibri" w:hAnsi="Calibri"/>
        </w:rPr>
      </w:pPr>
      <w:r>
        <w:rPr>
          <w:rFonts w:ascii="Calibri" w:hAnsi="Calibri"/>
          <w:noProof/>
          <w:lang w:val="en-US" w:eastAsia="en-US"/>
        </w:rPr>
        <w:drawing>
          <wp:inline distT="0" distB="0" distL="0" distR="0" wp14:anchorId="6DE2E315" wp14:editId="342E9ABC">
            <wp:extent cx="6011545" cy="1913255"/>
            <wp:effectExtent l="0" t="0" r="0" b="0"/>
            <wp:docPr id="3" name="Picture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1545" cy="1913255"/>
                    </a:xfrm>
                    <a:prstGeom prst="rect">
                      <a:avLst/>
                    </a:prstGeom>
                    <a:noFill/>
                    <a:ln>
                      <a:noFill/>
                    </a:ln>
                  </pic:spPr>
                </pic:pic>
              </a:graphicData>
            </a:graphic>
          </wp:inline>
        </w:drawing>
      </w:r>
      <w:r w:rsidR="000D13BC">
        <w:rPr>
          <w:rFonts w:ascii="Calibri" w:hAnsi="Calibri"/>
        </w:rPr>
        <w:t xml:space="preserve">                             </w:t>
      </w:r>
    </w:p>
    <w:p w14:paraId="15628E28" w14:textId="77777777" w:rsidR="000D13BC" w:rsidRDefault="000D13BC" w:rsidP="000D13B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1: TDM multiplexing of initial access signals between access and backhaul links (same periodicity)</w:t>
      </w:r>
    </w:p>
    <w:p w14:paraId="381933C7" w14:textId="77777777" w:rsidR="00C0195E" w:rsidRDefault="00C0195E" w:rsidP="00C0195E">
      <w:pPr>
        <w:pStyle w:val="maintext"/>
        <w:ind w:firstLineChars="0" w:firstLine="0"/>
        <w:rPr>
          <w:rFonts w:ascii="Calibri" w:hAnsi="Calibri"/>
        </w:rPr>
      </w:pPr>
      <w:r>
        <w:rPr>
          <w:rFonts w:ascii="Calibri" w:hAnsi="Calibri"/>
        </w:rPr>
        <w:t xml:space="preserve">The access synchronization signal transmissions can overlap in time across hop orders since they are intended for UEs and therefore not subject to the half-duplex constrain requirement. However, orthogonal STCs are required for the transmission of the synchronization signal transmissions intended for backhaul link discovery and maintenance with a possibly larger periodicity of transmission and separately configured from the parameters/resources used by access UEs. As a </w:t>
      </w:r>
      <w:proofErr w:type="gramStart"/>
      <w:r>
        <w:rPr>
          <w:rFonts w:ascii="Calibri" w:hAnsi="Calibri"/>
        </w:rPr>
        <w:t>result</w:t>
      </w:r>
      <w:proofErr w:type="gramEnd"/>
      <w:r>
        <w:rPr>
          <w:rFonts w:ascii="Calibri" w:hAnsi="Calibri"/>
        </w:rPr>
        <w:t xml:space="preserve"> RAN1 agreed to support up to 4 SMTCs for IAB-node MTs, which is optimized for 3 hop orders and additional periodicities than supported by access UEs in Rel-15 (320 and 640 subframes).</w:t>
      </w:r>
    </w:p>
    <w:p w14:paraId="39E420B4" w14:textId="77777777" w:rsidR="00B73A69" w:rsidRDefault="00EE48A6" w:rsidP="006F253E">
      <w:pPr>
        <w:pStyle w:val="maintext"/>
        <w:ind w:firstLineChars="0" w:firstLine="0"/>
        <w:rPr>
          <w:rFonts w:ascii="Calibri" w:hAnsi="Calibri"/>
          <w:b/>
        </w:rPr>
      </w:pPr>
      <w:r>
        <w:rPr>
          <w:rFonts w:ascii="Calibri" w:hAnsi="Calibri"/>
          <w:b/>
        </w:rPr>
        <w:t xml:space="preserve">Proposal </w:t>
      </w:r>
      <w:r w:rsidR="00EA0940">
        <w:rPr>
          <w:rFonts w:ascii="Calibri" w:hAnsi="Calibri"/>
          <w:b/>
        </w:rPr>
        <w:t>1</w:t>
      </w:r>
      <w:r>
        <w:rPr>
          <w:rFonts w:ascii="Calibri" w:hAnsi="Calibri"/>
          <w:b/>
        </w:rPr>
        <w:t xml:space="preserve">: </w:t>
      </w:r>
      <w:r w:rsidR="00BE240D">
        <w:rPr>
          <w:rFonts w:ascii="Calibri" w:hAnsi="Calibri"/>
          <w:b/>
        </w:rPr>
        <w:t xml:space="preserve">Requirements for SSB based RRM measurements should include </w:t>
      </w:r>
      <w:r w:rsidR="000D13BC">
        <w:rPr>
          <w:rFonts w:ascii="Calibri" w:hAnsi="Calibri"/>
          <w:b/>
        </w:rPr>
        <w:t>the additional periodicities defined in Rel-16 (320 and 640 subframes) and up to 4 configured SMTCs at an IAB-node MT.</w:t>
      </w:r>
    </w:p>
    <w:p w14:paraId="7FC75C4C" w14:textId="77777777" w:rsidR="000337FD" w:rsidRPr="006F253E" w:rsidRDefault="000337FD" w:rsidP="006F253E">
      <w:pPr>
        <w:pStyle w:val="maintext"/>
        <w:ind w:firstLineChars="0" w:firstLine="0"/>
        <w:rPr>
          <w:rFonts w:ascii="Calibri" w:hAnsi="Calibri"/>
          <w:b/>
        </w:rPr>
      </w:pPr>
    </w:p>
    <w:p w14:paraId="1E2CD7AE" w14:textId="77777777" w:rsidR="001A48EC" w:rsidRDefault="006961B0" w:rsidP="001A48EC">
      <w:pPr>
        <w:pStyle w:val="Heading2"/>
        <w:ind w:left="540"/>
      </w:pPr>
      <w:r>
        <w:t>CSI-RS based RRM</w:t>
      </w:r>
    </w:p>
    <w:p w14:paraId="395B02A8" w14:textId="77777777" w:rsidR="000D13BC" w:rsidRPr="00C0195E" w:rsidRDefault="00C0195E" w:rsidP="00C0195E">
      <w:pPr>
        <w:pStyle w:val="maintext"/>
        <w:ind w:firstLineChars="0" w:firstLine="0"/>
        <w:rPr>
          <w:rFonts w:ascii="Calibri" w:hAnsi="Calibri"/>
        </w:rPr>
      </w:pPr>
      <w:r>
        <w:rPr>
          <w:rFonts w:ascii="Calibri" w:hAnsi="Calibri"/>
        </w:rPr>
        <w:t xml:space="preserve">Frequent transmission of SSBs can result in excessive overhead and result in undesirable scheduling restrictions on the IAB node DU function since data transmissions cannot be scheduled when the IAB node UE function is performing measurements. </w:t>
      </w:r>
      <w:r w:rsidR="000D13BC" w:rsidRPr="00C0195E">
        <w:rPr>
          <w:rFonts w:ascii="Calibri" w:hAnsi="Calibri"/>
        </w:rPr>
        <w:t>During RAN1#94bis</w:t>
      </w:r>
      <w:r>
        <w:rPr>
          <w:rFonts w:ascii="Calibri" w:hAnsi="Calibri"/>
        </w:rPr>
        <w:t>, CSI-RS was studied as an alternative for inter-IAB node discovery and measurement, and the following agreement was made</w:t>
      </w:r>
      <w:r w:rsidR="000D13BC" w:rsidRPr="00C0195E">
        <w:rPr>
          <w:rFonts w:ascii="Calibri" w:hAnsi="Calibri"/>
        </w:rPr>
        <w:t>:</w:t>
      </w:r>
    </w:p>
    <w:p w14:paraId="7381B5B4" w14:textId="77777777" w:rsidR="000D13BC" w:rsidRDefault="000D13BC" w:rsidP="000D13BC">
      <w:pPr>
        <w:numPr>
          <w:ilvl w:val="0"/>
          <w:numId w:val="12"/>
        </w:numPr>
        <w:spacing w:before="0" w:after="0"/>
        <w:jc w:val="left"/>
      </w:pPr>
      <w:r>
        <w:t>CSI-RS can be used for inter-IAB detection in synchronous network</w:t>
      </w:r>
    </w:p>
    <w:p w14:paraId="5224AFF4" w14:textId="77777777" w:rsidR="000D13BC" w:rsidRDefault="000D13BC" w:rsidP="000D13BC">
      <w:pPr>
        <w:numPr>
          <w:ilvl w:val="1"/>
          <w:numId w:val="12"/>
        </w:numPr>
        <w:spacing w:before="0" w:after="0"/>
        <w:jc w:val="left"/>
      </w:pPr>
      <w:r>
        <w:t xml:space="preserve">Extended CSI-RS periodicities can be considered. </w:t>
      </w:r>
    </w:p>
    <w:p w14:paraId="647EFD54" w14:textId="77777777" w:rsidR="000D13BC" w:rsidRPr="000D13BC" w:rsidRDefault="000D13BC" w:rsidP="000D13BC"/>
    <w:p w14:paraId="76C9699C" w14:textId="77777777" w:rsidR="00DC61A8" w:rsidRDefault="004050F6" w:rsidP="00DC61A8">
      <w:pPr>
        <w:pStyle w:val="maintext"/>
        <w:ind w:firstLineChars="0" w:firstLine="0"/>
        <w:rPr>
          <w:rFonts w:ascii="Calibri" w:hAnsi="Calibri"/>
          <w:b/>
        </w:rPr>
      </w:pPr>
      <w:r w:rsidRPr="0070610B">
        <w:rPr>
          <w:rFonts w:ascii="Calibri" w:hAnsi="Calibri"/>
          <w:b/>
        </w:rPr>
        <w:t xml:space="preserve">Proposal </w:t>
      </w:r>
      <w:r w:rsidR="0054154F">
        <w:rPr>
          <w:rFonts w:ascii="Calibri" w:hAnsi="Calibri"/>
          <w:b/>
        </w:rPr>
        <w:t>2</w:t>
      </w:r>
      <w:r w:rsidRPr="0070610B">
        <w:rPr>
          <w:rFonts w:ascii="Calibri" w:hAnsi="Calibri"/>
          <w:b/>
        </w:rPr>
        <w:t xml:space="preserve">: </w:t>
      </w:r>
      <w:r w:rsidR="00C8702A">
        <w:rPr>
          <w:rFonts w:ascii="Calibri" w:hAnsi="Calibri"/>
          <w:b/>
        </w:rPr>
        <w:t xml:space="preserve">Requirements for </w:t>
      </w:r>
      <w:r w:rsidR="006961B0">
        <w:rPr>
          <w:rFonts w:ascii="Calibri" w:hAnsi="Calibri"/>
          <w:b/>
        </w:rPr>
        <w:t>CSI-RS based RRM measurements for inter IAB-node discovery and measurement should be supported.</w:t>
      </w:r>
    </w:p>
    <w:p w14:paraId="27E58DAB" w14:textId="77777777" w:rsidR="00C0195E" w:rsidRDefault="00C0195E" w:rsidP="00DC61A8">
      <w:pPr>
        <w:pStyle w:val="maintext"/>
        <w:ind w:firstLineChars="0" w:firstLine="0"/>
        <w:rPr>
          <w:rFonts w:ascii="Calibri" w:hAnsi="Calibri"/>
        </w:rPr>
      </w:pPr>
    </w:p>
    <w:p w14:paraId="2C78A6AC" w14:textId="77777777" w:rsidR="00C0195E" w:rsidRPr="00C0195E" w:rsidRDefault="00C0195E" w:rsidP="00DC61A8">
      <w:pPr>
        <w:pStyle w:val="maintext"/>
        <w:ind w:firstLineChars="0" w:firstLine="0"/>
        <w:rPr>
          <w:rFonts w:ascii="Calibri" w:hAnsi="Calibri"/>
          <w:b/>
        </w:rPr>
      </w:pPr>
      <w:r>
        <w:rPr>
          <w:rFonts w:ascii="Calibri" w:hAnsi="Calibri"/>
        </w:rPr>
        <w:t xml:space="preserve">As a result, instead of relying on SSB-based RRM, the network may utilize CSI-RS for topology and route management measurements since the CSI-RS can have lower time/frequency resource overhead and can be UE-specifically configured with finer granularity than SSB-based measurements. While reusing the existing CSI-RS based RRM configurations defined in Rel-15 is possible for IAB (i.e. </w:t>
      </w:r>
      <w:r>
        <w:rPr>
          <w:rFonts w:ascii="Calibri" w:hAnsi="Calibri"/>
          <w:i/>
        </w:rPr>
        <w:t>CSI-RS-</w:t>
      </w:r>
      <w:proofErr w:type="spellStart"/>
      <w:r>
        <w:rPr>
          <w:rFonts w:ascii="Calibri" w:hAnsi="Calibri"/>
          <w:i/>
        </w:rPr>
        <w:t>ResourceConfigMobility</w:t>
      </w:r>
      <w:proofErr w:type="spellEnd"/>
      <w:r>
        <w:rPr>
          <w:rFonts w:ascii="Calibri" w:hAnsi="Calibri"/>
        </w:rPr>
        <w:t>), certain parameters should be optimized to support IAB deployments, considering the higher capability of IAB nodes compared to UEs and the less strict latency requirements for measurements in Rel-16 which focuses on fixed deployments.</w:t>
      </w:r>
    </w:p>
    <w:p w14:paraId="2B9EEE40" w14:textId="77777777" w:rsidR="006961B0" w:rsidRDefault="006961B0" w:rsidP="00DC61A8">
      <w:pPr>
        <w:pStyle w:val="maintext"/>
        <w:ind w:firstLineChars="0" w:firstLine="0"/>
        <w:rPr>
          <w:rFonts w:ascii="Calibri" w:hAnsi="Calibri"/>
          <w:b/>
          <w:lang w:val="en-US"/>
        </w:rPr>
      </w:pPr>
      <w:r>
        <w:rPr>
          <w:rFonts w:ascii="Calibri" w:hAnsi="Calibri"/>
          <w:b/>
          <w:lang w:val="en-US"/>
        </w:rPr>
        <w:t>Proposal 3: The CSI-RS resource</w:t>
      </w:r>
      <w:r w:rsidR="00C0195E">
        <w:rPr>
          <w:rFonts w:ascii="Calibri" w:hAnsi="Calibri"/>
          <w:b/>
          <w:lang w:val="en-US"/>
        </w:rPr>
        <w:t xml:space="preserve"> </w:t>
      </w:r>
      <w:r w:rsidR="00A71807">
        <w:rPr>
          <w:rFonts w:ascii="Calibri" w:hAnsi="Calibri"/>
          <w:b/>
          <w:lang w:val="en-US"/>
        </w:rPr>
        <w:t>configurations</w:t>
      </w:r>
      <w:r>
        <w:rPr>
          <w:rFonts w:ascii="Calibri" w:hAnsi="Calibri"/>
          <w:b/>
          <w:lang w:val="en-US"/>
        </w:rPr>
        <w:t xml:space="preserve"> assumed for determining RRM requirements should include the maximum </w:t>
      </w:r>
      <w:r w:rsidR="00C0195E">
        <w:rPr>
          <w:rFonts w:ascii="Calibri" w:hAnsi="Calibri"/>
          <w:b/>
          <w:lang w:val="en-US"/>
        </w:rPr>
        <w:t xml:space="preserve">possible </w:t>
      </w:r>
      <w:r>
        <w:rPr>
          <w:rFonts w:ascii="Calibri" w:hAnsi="Calibri"/>
          <w:b/>
          <w:lang w:val="en-US"/>
        </w:rPr>
        <w:t xml:space="preserve">measurement BW, maximum periodicity (e.g. 40ms), and </w:t>
      </w:r>
      <w:r w:rsidR="00C0195E">
        <w:rPr>
          <w:rFonts w:ascii="Calibri" w:hAnsi="Calibri"/>
          <w:b/>
          <w:lang w:val="en-US"/>
        </w:rPr>
        <w:t xml:space="preserve">support for </w:t>
      </w:r>
      <w:r>
        <w:rPr>
          <w:rFonts w:ascii="Calibri" w:hAnsi="Calibri"/>
          <w:b/>
          <w:lang w:val="en-US"/>
        </w:rPr>
        <w:t>quasi-colocat</w:t>
      </w:r>
      <w:r w:rsidR="00C0195E">
        <w:rPr>
          <w:rFonts w:ascii="Calibri" w:hAnsi="Calibri"/>
          <w:b/>
          <w:lang w:val="en-US"/>
        </w:rPr>
        <w:t xml:space="preserve">ion </w:t>
      </w:r>
      <w:r>
        <w:rPr>
          <w:rFonts w:ascii="Calibri" w:hAnsi="Calibri"/>
          <w:b/>
          <w:lang w:val="en-US"/>
        </w:rPr>
        <w:t>of SSB and CSI-RS.</w:t>
      </w:r>
    </w:p>
    <w:p w14:paraId="6C378926" w14:textId="77777777" w:rsidR="007338D6" w:rsidRPr="00172743" w:rsidRDefault="003A566A" w:rsidP="00326FF6">
      <w:pPr>
        <w:pStyle w:val="Heading1"/>
      </w:pPr>
      <w:r w:rsidRPr="00172743">
        <w:lastRenderedPageBreak/>
        <w:t>Conclusion</w:t>
      </w:r>
    </w:p>
    <w:p w14:paraId="29956B05" w14:textId="77777777"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w:t>
      </w:r>
      <w:r w:rsidR="000D13BC">
        <w:rPr>
          <w:rFonts w:ascii="Calibri" w:hAnsi="Calibri"/>
        </w:rPr>
        <w:t xml:space="preserve"> RRM</w:t>
      </w:r>
      <w:r>
        <w:rPr>
          <w:rFonts w:ascii="Calibri" w:hAnsi="Calibri"/>
        </w:rPr>
        <w:t xml:space="preserve"> requirements for </w:t>
      </w:r>
      <w:r w:rsidR="000D13BC">
        <w:rPr>
          <w:rFonts w:ascii="Calibri" w:hAnsi="Calibri"/>
        </w:rPr>
        <w:t>IAB</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14:paraId="64376E2A" w14:textId="77777777" w:rsidR="009174BD" w:rsidRDefault="009174BD" w:rsidP="009174BD">
      <w:pPr>
        <w:pStyle w:val="maintext"/>
        <w:ind w:firstLineChars="0" w:firstLine="0"/>
        <w:rPr>
          <w:rFonts w:ascii="Calibri" w:hAnsi="Calibri"/>
          <w:b/>
        </w:rPr>
      </w:pPr>
      <w:r>
        <w:rPr>
          <w:rFonts w:ascii="Calibri" w:hAnsi="Calibri"/>
          <w:b/>
        </w:rPr>
        <w:t>Proposal 1: Requirements for SSB based RRM measurements should include the additional periodicities defined in Rel-16 (320 and 640 subframes) and up to 4 configured SMTCs at an IAB-node MT.</w:t>
      </w:r>
    </w:p>
    <w:p w14:paraId="3D8A28CF" w14:textId="77777777" w:rsidR="009174BD" w:rsidRDefault="009174BD" w:rsidP="009174BD">
      <w:pPr>
        <w:pStyle w:val="maintext"/>
        <w:ind w:firstLineChars="0" w:firstLine="0"/>
        <w:rPr>
          <w:rFonts w:ascii="Calibri" w:hAnsi="Calibri"/>
          <w:b/>
        </w:rPr>
      </w:pPr>
      <w:r w:rsidRPr="0070610B">
        <w:rPr>
          <w:rFonts w:ascii="Calibri" w:hAnsi="Calibri"/>
          <w:b/>
        </w:rPr>
        <w:t xml:space="preserve">Proposal </w:t>
      </w:r>
      <w:r>
        <w:rPr>
          <w:rFonts w:ascii="Calibri" w:hAnsi="Calibri"/>
          <w:b/>
        </w:rPr>
        <w:t>2</w:t>
      </w:r>
      <w:r w:rsidRPr="0070610B">
        <w:rPr>
          <w:rFonts w:ascii="Calibri" w:hAnsi="Calibri"/>
          <w:b/>
        </w:rPr>
        <w:t xml:space="preserve">: </w:t>
      </w:r>
      <w:r>
        <w:rPr>
          <w:rFonts w:ascii="Calibri" w:hAnsi="Calibri"/>
          <w:b/>
        </w:rPr>
        <w:t>Requirements for CSI-RS based RRM measurements for inter IAB-node discovery and measurement should be supported.</w:t>
      </w:r>
    </w:p>
    <w:p w14:paraId="784C6816" w14:textId="77777777" w:rsidR="009174BD" w:rsidRDefault="009174BD" w:rsidP="009174BD">
      <w:pPr>
        <w:pStyle w:val="maintext"/>
        <w:ind w:firstLineChars="0" w:firstLine="0"/>
        <w:rPr>
          <w:rFonts w:ascii="Calibri" w:hAnsi="Calibri"/>
          <w:b/>
          <w:lang w:val="en-US"/>
        </w:rPr>
      </w:pPr>
      <w:r>
        <w:rPr>
          <w:rFonts w:ascii="Calibri" w:hAnsi="Calibri"/>
          <w:b/>
          <w:lang w:val="en-US"/>
        </w:rPr>
        <w:t xml:space="preserve">Proposal 3: The CSI-RS resource </w:t>
      </w:r>
      <w:r w:rsidR="00A71807">
        <w:rPr>
          <w:rFonts w:ascii="Calibri" w:hAnsi="Calibri"/>
          <w:b/>
          <w:lang w:val="en-US"/>
        </w:rPr>
        <w:t>configurations</w:t>
      </w:r>
      <w:r>
        <w:rPr>
          <w:rFonts w:ascii="Calibri" w:hAnsi="Calibri"/>
          <w:b/>
          <w:lang w:val="en-US"/>
        </w:rPr>
        <w:t xml:space="preserve"> assumed for determining RRM requirements should include the maximum possible measurement BW, maximum periodicity (e.g. 40ms), and support for quasi-colocation of SSB and CSI-RS.</w:t>
      </w:r>
    </w:p>
    <w:p w14:paraId="2641FA7F" w14:textId="77777777" w:rsidR="00F35911" w:rsidRDefault="00F35911" w:rsidP="00172743">
      <w:pPr>
        <w:spacing w:before="0" w:after="0"/>
        <w:rPr>
          <w:rFonts w:ascii="Calibri" w:hAnsi="Calibri"/>
        </w:rPr>
      </w:pPr>
    </w:p>
    <w:p w14:paraId="4C33A032" w14:textId="77777777" w:rsidR="00FE6C15" w:rsidRPr="0076067D" w:rsidRDefault="00FE6C15" w:rsidP="0076067D">
      <w:pPr>
        <w:pStyle w:val="Heading1"/>
      </w:pPr>
      <w:r>
        <w:t>Reference</w:t>
      </w:r>
    </w:p>
    <w:p w14:paraId="739571A2" w14:textId="77777777" w:rsidR="008D2EE5" w:rsidRPr="003B2E8D" w:rsidRDefault="003B2E8D" w:rsidP="003B2E8D">
      <w:pPr>
        <w:pStyle w:val="2222"/>
        <w:spacing w:after="120" w:line="288" w:lineRule="auto"/>
        <w:ind w:firstLineChars="0" w:firstLine="0"/>
        <w:jc w:val="left"/>
        <w:rPr>
          <w:rFonts w:cs="Times New Roman"/>
          <w:lang w:eastAsia="ko-KR"/>
        </w:rPr>
      </w:pPr>
      <w:r>
        <w:rPr>
          <w:rFonts w:cs="Times New Roman"/>
          <w:lang w:eastAsia="ko-KR"/>
        </w:rPr>
        <w:t>[1] RP-182882, New WID: Integrated Access and Backhaul for NR, Qualcomm</w:t>
      </w:r>
    </w:p>
    <w:sectPr w:rsidR="008D2EE5" w:rsidRPr="003B2E8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9C312" w14:textId="77777777" w:rsidR="00A320D5" w:rsidRDefault="00A320D5" w:rsidP="00424124">
      <w:pPr>
        <w:spacing w:before="0" w:after="0"/>
      </w:pPr>
      <w:r>
        <w:separator/>
      </w:r>
    </w:p>
  </w:endnote>
  <w:endnote w:type="continuationSeparator" w:id="0">
    <w:p w14:paraId="4A3E2A8A" w14:textId="77777777" w:rsidR="00A320D5" w:rsidRDefault="00A320D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4E68F" w14:textId="77777777" w:rsidR="00A320D5" w:rsidRDefault="00A320D5" w:rsidP="00424124">
      <w:pPr>
        <w:spacing w:before="0" w:after="0"/>
      </w:pPr>
      <w:r>
        <w:separator/>
      </w:r>
    </w:p>
  </w:footnote>
  <w:footnote w:type="continuationSeparator" w:id="0">
    <w:p w14:paraId="1911DB8D" w14:textId="77777777" w:rsidR="00A320D5" w:rsidRDefault="00A320D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311ACA"/>
    <w:multiLevelType w:val="hybridMultilevel"/>
    <w:tmpl w:val="D1309562"/>
    <w:lvl w:ilvl="0" w:tplc="635AD17E">
      <w:start w:val="1"/>
      <w:numFmt w:val="bullet"/>
      <w:lvlText w:val="•"/>
      <w:lvlJc w:val="left"/>
      <w:pPr>
        <w:tabs>
          <w:tab w:val="num" w:pos="720"/>
        </w:tabs>
        <w:ind w:left="720" w:hanging="360"/>
      </w:pPr>
      <w:rPr>
        <w:rFonts w:ascii="Arial" w:hAnsi="Arial" w:hint="default"/>
      </w:rPr>
    </w:lvl>
    <w:lvl w:ilvl="1" w:tplc="79342CC0">
      <w:start w:val="32"/>
      <w:numFmt w:val="bullet"/>
      <w:lvlText w:val="•"/>
      <w:lvlJc w:val="left"/>
      <w:pPr>
        <w:tabs>
          <w:tab w:val="num" w:pos="1440"/>
        </w:tabs>
        <w:ind w:left="1440" w:hanging="360"/>
      </w:pPr>
      <w:rPr>
        <w:rFonts w:ascii="Arial" w:hAnsi="Arial" w:hint="default"/>
      </w:rPr>
    </w:lvl>
    <w:lvl w:ilvl="2" w:tplc="19484406" w:tentative="1">
      <w:start w:val="1"/>
      <w:numFmt w:val="bullet"/>
      <w:lvlText w:val="•"/>
      <w:lvlJc w:val="left"/>
      <w:pPr>
        <w:tabs>
          <w:tab w:val="num" w:pos="2160"/>
        </w:tabs>
        <w:ind w:left="2160" w:hanging="360"/>
      </w:pPr>
      <w:rPr>
        <w:rFonts w:ascii="Arial" w:hAnsi="Arial" w:hint="default"/>
      </w:rPr>
    </w:lvl>
    <w:lvl w:ilvl="3" w:tplc="1578E5C0" w:tentative="1">
      <w:start w:val="1"/>
      <w:numFmt w:val="bullet"/>
      <w:lvlText w:val="•"/>
      <w:lvlJc w:val="left"/>
      <w:pPr>
        <w:tabs>
          <w:tab w:val="num" w:pos="2880"/>
        </w:tabs>
        <w:ind w:left="2880" w:hanging="360"/>
      </w:pPr>
      <w:rPr>
        <w:rFonts w:ascii="Arial" w:hAnsi="Arial" w:hint="default"/>
      </w:rPr>
    </w:lvl>
    <w:lvl w:ilvl="4" w:tplc="97D68302" w:tentative="1">
      <w:start w:val="1"/>
      <w:numFmt w:val="bullet"/>
      <w:lvlText w:val="•"/>
      <w:lvlJc w:val="left"/>
      <w:pPr>
        <w:tabs>
          <w:tab w:val="num" w:pos="3600"/>
        </w:tabs>
        <w:ind w:left="3600" w:hanging="360"/>
      </w:pPr>
      <w:rPr>
        <w:rFonts w:ascii="Arial" w:hAnsi="Arial" w:hint="default"/>
      </w:rPr>
    </w:lvl>
    <w:lvl w:ilvl="5" w:tplc="69F8D47C" w:tentative="1">
      <w:start w:val="1"/>
      <w:numFmt w:val="bullet"/>
      <w:lvlText w:val="•"/>
      <w:lvlJc w:val="left"/>
      <w:pPr>
        <w:tabs>
          <w:tab w:val="num" w:pos="4320"/>
        </w:tabs>
        <w:ind w:left="4320" w:hanging="360"/>
      </w:pPr>
      <w:rPr>
        <w:rFonts w:ascii="Arial" w:hAnsi="Arial" w:hint="default"/>
      </w:rPr>
    </w:lvl>
    <w:lvl w:ilvl="6" w:tplc="511E6058" w:tentative="1">
      <w:start w:val="1"/>
      <w:numFmt w:val="bullet"/>
      <w:lvlText w:val="•"/>
      <w:lvlJc w:val="left"/>
      <w:pPr>
        <w:tabs>
          <w:tab w:val="num" w:pos="5040"/>
        </w:tabs>
        <w:ind w:left="5040" w:hanging="360"/>
      </w:pPr>
      <w:rPr>
        <w:rFonts w:ascii="Arial" w:hAnsi="Arial" w:hint="default"/>
      </w:rPr>
    </w:lvl>
    <w:lvl w:ilvl="7" w:tplc="66DA1080" w:tentative="1">
      <w:start w:val="1"/>
      <w:numFmt w:val="bullet"/>
      <w:lvlText w:val="•"/>
      <w:lvlJc w:val="left"/>
      <w:pPr>
        <w:tabs>
          <w:tab w:val="num" w:pos="5760"/>
        </w:tabs>
        <w:ind w:left="5760" w:hanging="360"/>
      </w:pPr>
      <w:rPr>
        <w:rFonts w:ascii="Arial" w:hAnsi="Arial" w:hint="default"/>
      </w:rPr>
    </w:lvl>
    <w:lvl w:ilvl="8" w:tplc="4510D4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num w:numId="1">
    <w:abstractNumId w:val="8"/>
  </w:num>
  <w:num w:numId="2">
    <w:abstractNumId w:val="6"/>
  </w:num>
  <w:num w:numId="3">
    <w:abstractNumId w:val="11"/>
  </w:num>
  <w:num w:numId="4">
    <w:abstractNumId w:val="2"/>
  </w:num>
  <w:num w:numId="5">
    <w:abstractNumId w:val="5"/>
  </w:num>
  <w:num w:numId="6">
    <w:abstractNumId w:val="10"/>
  </w:num>
  <w:num w:numId="7">
    <w:abstractNumId w:val="7"/>
  </w:num>
  <w:num w:numId="8">
    <w:abstractNumId w:val="9"/>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1485D"/>
    <w:rsid w:val="000149EC"/>
    <w:rsid w:val="00017866"/>
    <w:rsid w:val="00020F1A"/>
    <w:rsid w:val="00031603"/>
    <w:rsid w:val="00032C70"/>
    <w:rsid w:val="00032D47"/>
    <w:rsid w:val="000337FD"/>
    <w:rsid w:val="00044F7E"/>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C75A4"/>
    <w:rsid w:val="000D13BC"/>
    <w:rsid w:val="000D1C0F"/>
    <w:rsid w:val="000D38DC"/>
    <w:rsid w:val="000E0384"/>
    <w:rsid w:val="000E29D8"/>
    <w:rsid w:val="000E357F"/>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699C"/>
    <w:rsid w:val="001E0CE1"/>
    <w:rsid w:val="001E58CC"/>
    <w:rsid w:val="001F59ED"/>
    <w:rsid w:val="001F768F"/>
    <w:rsid w:val="0021167B"/>
    <w:rsid w:val="00211D37"/>
    <w:rsid w:val="00212204"/>
    <w:rsid w:val="002122D0"/>
    <w:rsid w:val="00216763"/>
    <w:rsid w:val="00222269"/>
    <w:rsid w:val="00233D70"/>
    <w:rsid w:val="00235373"/>
    <w:rsid w:val="00241795"/>
    <w:rsid w:val="00242080"/>
    <w:rsid w:val="00246D61"/>
    <w:rsid w:val="0024786A"/>
    <w:rsid w:val="0025058B"/>
    <w:rsid w:val="00262116"/>
    <w:rsid w:val="002641FE"/>
    <w:rsid w:val="00265254"/>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C0488"/>
    <w:rsid w:val="002C4097"/>
    <w:rsid w:val="002D2C3E"/>
    <w:rsid w:val="002D3D42"/>
    <w:rsid w:val="002D479B"/>
    <w:rsid w:val="002D6EC9"/>
    <w:rsid w:val="002D787B"/>
    <w:rsid w:val="00310659"/>
    <w:rsid w:val="00315DC4"/>
    <w:rsid w:val="00317020"/>
    <w:rsid w:val="00320B4D"/>
    <w:rsid w:val="00324FAE"/>
    <w:rsid w:val="00326FF6"/>
    <w:rsid w:val="00327A22"/>
    <w:rsid w:val="0033513A"/>
    <w:rsid w:val="00342130"/>
    <w:rsid w:val="0034374B"/>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D2C51"/>
    <w:rsid w:val="005D4EE3"/>
    <w:rsid w:val="005F269F"/>
    <w:rsid w:val="005F613D"/>
    <w:rsid w:val="00603015"/>
    <w:rsid w:val="0060603E"/>
    <w:rsid w:val="00627DF4"/>
    <w:rsid w:val="00634707"/>
    <w:rsid w:val="00644034"/>
    <w:rsid w:val="00652AC8"/>
    <w:rsid w:val="0066157D"/>
    <w:rsid w:val="006756FB"/>
    <w:rsid w:val="00677BD0"/>
    <w:rsid w:val="00680F28"/>
    <w:rsid w:val="00685B82"/>
    <w:rsid w:val="00685E11"/>
    <w:rsid w:val="00687C0D"/>
    <w:rsid w:val="006961B0"/>
    <w:rsid w:val="0069705B"/>
    <w:rsid w:val="006A0EDC"/>
    <w:rsid w:val="006A18DB"/>
    <w:rsid w:val="006A2D2E"/>
    <w:rsid w:val="006B545C"/>
    <w:rsid w:val="006C452E"/>
    <w:rsid w:val="006C6365"/>
    <w:rsid w:val="006C77B1"/>
    <w:rsid w:val="006E790B"/>
    <w:rsid w:val="006F055C"/>
    <w:rsid w:val="006F253E"/>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C48"/>
    <w:rsid w:val="007E20F9"/>
    <w:rsid w:val="007E546F"/>
    <w:rsid w:val="007F0AF3"/>
    <w:rsid w:val="007F1928"/>
    <w:rsid w:val="007F392E"/>
    <w:rsid w:val="007F7A08"/>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174BD"/>
    <w:rsid w:val="00920B09"/>
    <w:rsid w:val="00924EA9"/>
    <w:rsid w:val="00925FA2"/>
    <w:rsid w:val="00926A9C"/>
    <w:rsid w:val="00927803"/>
    <w:rsid w:val="0093602F"/>
    <w:rsid w:val="00957CD1"/>
    <w:rsid w:val="00961DB2"/>
    <w:rsid w:val="0096209E"/>
    <w:rsid w:val="00962A9C"/>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62E4"/>
    <w:rsid w:val="00A26EC3"/>
    <w:rsid w:val="00A27226"/>
    <w:rsid w:val="00A320D5"/>
    <w:rsid w:val="00A359C7"/>
    <w:rsid w:val="00A41CF3"/>
    <w:rsid w:val="00A445AF"/>
    <w:rsid w:val="00A45DA7"/>
    <w:rsid w:val="00A4674D"/>
    <w:rsid w:val="00A55FF3"/>
    <w:rsid w:val="00A603CE"/>
    <w:rsid w:val="00A64CF7"/>
    <w:rsid w:val="00A7024B"/>
    <w:rsid w:val="00A71807"/>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AF750F"/>
    <w:rsid w:val="00B04278"/>
    <w:rsid w:val="00B12672"/>
    <w:rsid w:val="00B2434D"/>
    <w:rsid w:val="00B24D29"/>
    <w:rsid w:val="00B30D88"/>
    <w:rsid w:val="00B34610"/>
    <w:rsid w:val="00B34716"/>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240D"/>
    <w:rsid w:val="00BE7B88"/>
    <w:rsid w:val="00BF2C5D"/>
    <w:rsid w:val="00BF31E3"/>
    <w:rsid w:val="00BF5F1C"/>
    <w:rsid w:val="00C0195E"/>
    <w:rsid w:val="00C06607"/>
    <w:rsid w:val="00C07731"/>
    <w:rsid w:val="00C07AC0"/>
    <w:rsid w:val="00C218A9"/>
    <w:rsid w:val="00C47EE0"/>
    <w:rsid w:val="00C63006"/>
    <w:rsid w:val="00C67568"/>
    <w:rsid w:val="00C71871"/>
    <w:rsid w:val="00C85E87"/>
    <w:rsid w:val="00C8702A"/>
    <w:rsid w:val="00C913B6"/>
    <w:rsid w:val="00CA6EA3"/>
    <w:rsid w:val="00CB15A7"/>
    <w:rsid w:val="00CB6D97"/>
    <w:rsid w:val="00CE0C9D"/>
    <w:rsid w:val="00CE6572"/>
    <w:rsid w:val="00CE6E72"/>
    <w:rsid w:val="00D117C4"/>
    <w:rsid w:val="00D23CDC"/>
    <w:rsid w:val="00D26593"/>
    <w:rsid w:val="00D268EB"/>
    <w:rsid w:val="00D26CFF"/>
    <w:rsid w:val="00D274C6"/>
    <w:rsid w:val="00D33C2E"/>
    <w:rsid w:val="00D3454B"/>
    <w:rsid w:val="00D456D8"/>
    <w:rsid w:val="00D45A0E"/>
    <w:rsid w:val="00D4758C"/>
    <w:rsid w:val="00D55FAB"/>
    <w:rsid w:val="00D56240"/>
    <w:rsid w:val="00D56786"/>
    <w:rsid w:val="00D61EAB"/>
    <w:rsid w:val="00D701D3"/>
    <w:rsid w:val="00D7445F"/>
    <w:rsid w:val="00D92B1D"/>
    <w:rsid w:val="00DC0E31"/>
    <w:rsid w:val="00DC61A8"/>
    <w:rsid w:val="00DC70D0"/>
    <w:rsid w:val="00DC7DD6"/>
    <w:rsid w:val="00DD3971"/>
    <w:rsid w:val="00DD571D"/>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3301"/>
    <w:rsid w:val="00ED6E24"/>
    <w:rsid w:val="00EE23F0"/>
    <w:rsid w:val="00EE48A6"/>
    <w:rsid w:val="00EE4A18"/>
    <w:rsid w:val="00EF06BE"/>
    <w:rsid w:val="00EF61D1"/>
    <w:rsid w:val="00F1070A"/>
    <w:rsid w:val="00F154D0"/>
    <w:rsid w:val="00F261D6"/>
    <w:rsid w:val="00F35911"/>
    <w:rsid w:val="00F37791"/>
    <w:rsid w:val="00F42D43"/>
    <w:rsid w:val="00F51A17"/>
    <w:rsid w:val="00F57965"/>
    <w:rsid w:val="00F72ABE"/>
    <w:rsid w:val="00F72B1B"/>
    <w:rsid w:val="00F77E12"/>
    <w:rsid w:val="00F814DE"/>
    <w:rsid w:val="00F90045"/>
    <w:rsid w:val="00F925FE"/>
    <w:rsid w:val="00FA28D1"/>
    <w:rsid w:val="00FA6558"/>
    <w:rsid w:val="00FB1359"/>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93CDB"/>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6C77B1"/>
    <w:rPr>
      <w:rFonts w:ascii="Arial" w:eastAsia="Times New Roman" w:hAnsi="Arial"/>
    </w:rPr>
  </w:style>
  <w:style w:type="character" w:customStyle="1" w:styleId="PLChar">
    <w:name w:val="PL Char"/>
    <w:link w:val="PL"/>
    <w:qFormat/>
    <w:locked/>
    <w:rsid w:val="006961B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96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3651105">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8174721">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9041925">
      <w:bodyDiv w:val="1"/>
      <w:marLeft w:val="0"/>
      <w:marRight w:val="0"/>
      <w:marTop w:val="0"/>
      <w:marBottom w:val="0"/>
      <w:divBdr>
        <w:top w:val="none" w:sz="0" w:space="0" w:color="auto"/>
        <w:left w:val="none" w:sz="0" w:space="0" w:color="auto"/>
        <w:bottom w:val="none" w:sz="0" w:space="0" w:color="auto"/>
        <w:right w:val="none" w:sz="0" w:space="0" w:color="auto"/>
      </w:divBdr>
    </w:div>
    <w:div w:id="1304118734">
      <w:bodyDiv w:val="1"/>
      <w:marLeft w:val="0"/>
      <w:marRight w:val="0"/>
      <w:marTop w:val="0"/>
      <w:marBottom w:val="0"/>
      <w:divBdr>
        <w:top w:val="none" w:sz="0" w:space="0" w:color="auto"/>
        <w:left w:val="none" w:sz="0" w:space="0" w:color="auto"/>
        <w:bottom w:val="none" w:sz="0" w:space="0" w:color="auto"/>
        <w:right w:val="none" w:sz="0" w:space="0" w:color="auto"/>
      </w:divBdr>
      <w:divsChild>
        <w:div w:id="1483308236">
          <w:marLeft w:val="360"/>
          <w:marRight w:val="0"/>
          <w:marTop w:val="200"/>
          <w:marBottom w:val="0"/>
          <w:divBdr>
            <w:top w:val="none" w:sz="0" w:space="0" w:color="auto"/>
            <w:left w:val="none" w:sz="0" w:space="0" w:color="auto"/>
            <w:bottom w:val="none" w:sz="0" w:space="0" w:color="auto"/>
            <w:right w:val="none" w:sz="0" w:space="0" w:color="auto"/>
          </w:divBdr>
        </w:div>
        <w:div w:id="341781372">
          <w:marLeft w:val="1080"/>
          <w:marRight w:val="0"/>
          <w:marTop w:val="100"/>
          <w:marBottom w:val="0"/>
          <w:divBdr>
            <w:top w:val="none" w:sz="0" w:space="0" w:color="auto"/>
            <w:left w:val="none" w:sz="0" w:space="0" w:color="auto"/>
            <w:bottom w:val="none" w:sz="0" w:space="0" w:color="auto"/>
            <w:right w:val="none" w:sz="0" w:space="0" w:color="auto"/>
          </w:divBdr>
        </w:div>
      </w:divsChild>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369380281">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02627082">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0715987">
      <w:bodyDiv w:val="1"/>
      <w:marLeft w:val="0"/>
      <w:marRight w:val="0"/>
      <w:marTop w:val="0"/>
      <w:marBottom w:val="0"/>
      <w:divBdr>
        <w:top w:val="none" w:sz="0" w:space="0" w:color="auto"/>
        <w:left w:val="none" w:sz="0" w:space="0" w:color="auto"/>
        <w:bottom w:val="none" w:sz="0" w:space="0" w:color="auto"/>
        <w:right w:val="none" w:sz="0" w:space="0" w:color="auto"/>
      </w:divBdr>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27974-1E78-459B-935C-79BDFD9C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4</cp:revision>
  <cp:lastPrinted>2016-02-23T18:51:00Z</cp:lastPrinted>
  <dcterms:created xsi:type="dcterms:W3CDTF">2019-08-16T04:12:00Z</dcterms:created>
  <dcterms:modified xsi:type="dcterms:W3CDTF">2019-08-16T17:51:00Z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